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</w:t>
      </w:r>
      <w:r>
        <w:rPr>
          <w:color w:val="000000"/>
          <w:spacing w:val="0"/>
          <w:w w:val="100"/>
          <w:position w:val="0"/>
        </w:rPr>
        <w:t>: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3"/>
      <w:bookmarkStart w:id="1" w:name="bookmark4"/>
      <w:bookmarkStart w:id="2" w:name="bookmark5"/>
      <w:r>
        <w:rPr>
          <w:color w:val="000000"/>
          <w:spacing w:val="0"/>
          <w:w w:val="100"/>
          <w:position w:val="0"/>
        </w:rPr>
        <w:t>湘西州吉首市等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8</w:t>
      </w:r>
      <w:r>
        <w:rPr>
          <w:color w:val="000000"/>
          <w:spacing w:val="0"/>
          <w:w w:val="100"/>
          <w:position w:val="0"/>
        </w:rPr>
        <w:t>县市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增发国债</w:t>
      </w:r>
      <w:r>
        <w:rPr>
          <w:color w:val="000000"/>
          <w:spacing w:val="0"/>
          <w:w w:val="100"/>
          <w:position w:val="0"/>
        </w:rPr>
        <w:t>高标准农田建设项目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O二四年，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省级配套资金）</w:t>
      </w:r>
      <w:r>
        <w:rPr>
          <w:color w:val="000000"/>
          <w:spacing w:val="0"/>
          <w:w w:val="100"/>
          <w:position w:val="0"/>
        </w:rPr>
        <w:t>公示表</w:t>
      </w:r>
      <w:bookmarkEnd w:id="0"/>
      <w:bookmarkEnd w:id="1"/>
      <w:bookmarkEnd w:id="2"/>
    </w:p>
    <w:tbl>
      <w:tblPr>
        <w:tblStyle w:val="2"/>
        <w:tblW w:w="5022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"/>
        <w:gridCol w:w="747"/>
        <w:gridCol w:w="2842"/>
        <w:gridCol w:w="6895"/>
        <w:gridCol w:w="1455"/>
        <w:gridCol w:w="13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exact"/>
          <w:jc w:val="center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57" w:afterLines="50" w:line="24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县市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项目名称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建设地点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after="0" w:line="30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建设任务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（万亩）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40" w:line="240" w:lineRule="auto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40" w:line="240" w:lineRule="auto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after="40" w:line="240" w:lineRule="auto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投资规模 （万元）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2" w:hRule="exact"/>
          <w:jc w:val="center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1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吉首市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吉首市2024年高标准农田建设项目（二O二四年，省级配套资金）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马颈坳镇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雅沙村、米坡村；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太平镇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夯古村；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矮寨镇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排兄村3个乡镇（街道）4个村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0.1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285.57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0" w:hRule="exact"/>
          <w:jc w:val="center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2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泸溪县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泸溪县2024年高标准农田建设项目（二0二四年，省级配套资金）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达岚镇的达岚社区；解放岩乡的利略村；浦市镇的岩门溪村；武溪镇的城北社区；洗溪镇的李岩村、塘食溪村；小章乡的小章村；兴隆场镇的甘田坪村</w:t>
            </w:r>
            <w:r>
              <w:rPr>
                <w:rFonts w:hint="eastAsia"/>
                <w:lang w:val="en-US" w:eastAsia="zh-CN"/>
              </w:rPr>
              <w:t>7 个乡镇 8 个村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0.125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297.18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0" w:hRule="exact"/>
          <w:jc w:val="center"/>
        </w:trPr>
        <w:tc>
          <w:tcPr>
            <w:tcW w:w="2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" w:eastAsia="zh-CN"/>
              </w:rPr>
              <w:t>3</w:t>
            </w:r>
          </w:p>
        </w:tc>
        <w:tc>
          <w:tcPr>
            <w:tcW w:w="2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凤凰县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凤凰县2024年高标准农田建设项目（二〇二四年，省级配套资金）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木江坪镇得家村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" w:eastAsia="zh-CN"/>
              </w:rPr>
              <w:t>1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" w:eastAsia="zh-CN"/>
              </w:rPr>
              <w:t>乡镇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1个村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0.06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339.95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2" w:hRule="exact"/>
          <w:jc w:val="center"/>
        </w:trPr>
        <w:tc>
          <w:tcPr>
            <w:tcW w:w="252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4</w:t>
            </w:r>
          </w:p>
        </w:tc>
        <w:tc>
          <w:tcPr>
            <w:tcW w:w="266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古丈县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古丈县2024年高标准农田建设项目（二O二四年，省级配套资金）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默戎镇九龙村；岩头寨镇鲇溪村；坪坝镇张家村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个乡镇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个村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0.14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696.70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1" w:hRule="exact"/>
          <w:jc w:val="center"/>
        </w:trPr>
        <w:tc>
          <w:tcPr>
            <w:tcW w:w="252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5</w:t>
            </w:r>
          </w:p>
        </w:tc>
        <w:tc>
          <w:tcPr>
            <w:tcW w:w="266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花垣县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花垣县高标准农田建设（二O二四年，省级配套资金）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麻栗场镇沙科村、沙坪村、排达鲁村；补抽乡夯尚村；吉卫镇卫城村、吉卫农场；石栏镇朋岩村；花垣镇朱朝村、新龙社区；民乐镇谷哨村6个乡镇10个村（社区）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0.4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986.64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7" w:hRule="exact"/>
          <w:jc w:val="center"/>
        </w:trPr>
        <w:tc>
          <w:tcPr>
            <w:tcW w:w="252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6</w:t>
            </w:r>
          </w:p>
        </w:tc>
        <w:tc>
          <w:tcPr>
            <w:tcW w:w="266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保靖县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保靖县高标准农田建设(二〇二四年，省级配套资金）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毛沟镇田家村、鱼车村1个乡镇2个村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0.05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352.63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2" w:hRule="exact"/>
          <w:jc w:val="center"/>
        </w:trPr>
        <w:tc>
          <w:tcPr>
            <w:tcW w:w="2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" w:eastAsia="zh-CN"/>
              </w:rPr>
              <w:t>7</w:t>
            </w:r>
          </w:p>
        </w:tc>
        <w:tc>
          <w:tcPr>
            <w:tcW w:w="2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永顺县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永顺县2024年高标准农田建设项目（二〇二四年，省级配套资金）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小溪镇展笔村、龙凤村、回龙村、官坝村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1个乡镇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4个村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0.25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357.5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1" w:hRule="exact"/>
          <w:jc w:val="center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8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龙山县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龙山县2024年高标准农田建设项目（二O二四年，省级配套资金）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红岩溪镇比沙社区；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洗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车河镇细砂坪村；石牌镇桂英村；兴隆街道尖岩村4个乡镇（街道）4个村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0.29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631.63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M0NjMwZjc5NDBkYTZlZGI0M2Y3ZjJmM2NiOTYifQ=="/>
  </w:docVars>
  <w:rsids>
    <w:rsidRoot w:val="D77F4453"/>
    <w:rsid w:val="0FF71E10"/>
    <w:rsid w:val="37FF470B"/>
    <w:rsid w:val="3BFEC738"/>
    <w:rsid w:val="3CDC4967"/>
    <w:rsid w:val="3EF72389"/>
    <w:rsid w:val="54644D3B"/>
    <w:rsid w:val="5F7CE4D3"/>
    <w:rsid w:val="7C7D2A0F"/>
    <w:rsid w:val="7D9A71D0"/>
    <w:rsid w:val="7E37099C"/>
    <w:rsid w:val="7E6FFE41"/>
    <w:rsid w:val="7EAF7384"/>
    <w:rsid w:val="7F7BF252"/>
    <w:rsid w:val="7F7FFB47"/>
    <w:rsid w:val="7FFFB854"/>
    <w:rsid w:val="87FEA038"/>
    <w:rsid w:val="BDFFD460"/>
    <w:rsid w:val="D77F4453"/>
    <w:rsid w:val="D7B9A0E6"/>
    <w:rsid w:val="D7FE0D6D"/>
    <w:rsid w:val="ED6D0E73"/>
    <w:rsid w:val="EFE7AA5D"/>
    <w:rsid w:val="F23B4E6E"/>
    <w:rsid w:val="FDDF91E0"/>
    <w:rsid w:val="FFDB962F"/>
    <w:rsid w:val="FFDDE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600"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08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624</Words>
  <Characters>704</Characters>
  <Lines>0</Lines>
  <Paragraphs>0</Paragraphs>
  <TotalTime>2</TotalTime>
  <ScaleCrop>false</ScaleCrop>
  <LinksUpToDate>false</LinksUpToDate>
  <CharactersWithSpaces>710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2023-06-19T09:37:00Z</dcterms:created>
  <dc:creator>lylin</dc:creator>
  <cp:lastModifiedBy>greatwall</cp:lastModifiedBy>
  <dcterms:modified xsi:type="dcterms:W3CDTF">2024-11-18T09:07:58Z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783807624D904684A0ADA9AE38FCA35B_13</vt:lpwstr>
  </property>
</Properties>
</file>